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MONDAY 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GB" w:eastAsia="en-GB" w:bidi="ar-SA"/>
              </w:rPr>
              <w:t>9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vertAlign w:val="superscript"/>
                <w:lang w:val="en-GB" w:eastAsia="en-GB" w:bidi="ar-SA"/>
              </w:rPr>
              <w:t>th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GB" w:eastAsia="en-GB" w:bidi="ar-SA"/>
              </w:rPr>
              <w:t xml:space="preserve"> January 2023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Cllr North (Vice-Chairman), Cllr Bull, Cllr Barnes, Cllr Smith; </w:t>
      </w:r>
      <w:r>
        <w:rPr>
          <w:color w:val="auto"/>
          <w:sz w:val="18"/>
          <w:szCs w:val="18"/>
          <w:lang w:val="en-GB"/>
        </w:rPr>
        <w:t>Cllr Edward Oliver (UDC), arrived at 8.</w:t>
      </w:r>
      <w:r>
        <w:rPr>
          <w:color w:val="auto"/>
          <w:sz w:val="18"/>
          <w:szCs w:val="18"/>
          <w:lang w:val="en-GB"/>
        </w:rPr>
        <w:t>3</w:t>
      </w:r>
      <w:r>
        <w:rPr>
          <w:color w:val="auto"/>
          <w:sz w:val="18"/>
          <w:szCs w:val="18"/>
          <w:lang w:val="en-GB"/>
        </w:rPr>
        <w:t>5pm.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b w:val="false"/>
          <w:bCs w:val="false"/>
          <w:sz w:val="18"/>
          <w:szCs w:val="18"/>
          <w:lang w:val="en-GB"/>
        </w:rPr>
        <w:t>Cllr Clark, Cllr Joplin</w:t>
      </w:r>
    </w:p>
    <w:p>
      <w:pPr>
        <w:pStyle w:val="BodyA"/>
        <w:spacing w:before="0" w:after="0"/>
        <w:jc w:val="both"/>
        <w:rPr>
          <w:lang w:val="en-GB"/>
        </w:rPr>
      </w:pPr>
      <w:r>
        <w:rPr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Elkington: 8.1,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North: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8.1,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Bull: 8.1, non-pecuniary, member of the Parish Council that owns the land on which the community centre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is</w:t>
      </w:r>
      <w:r>
        <w:rPr>
          <w:sz w:val="18"/>
          <w:szCs w:val="18"/>
          <w:lang w:val="en-GB"/>
        </w:rPr>
        <w:t xml:space="preserve">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</w:t>
      </w:r>
      <w:r>
        <w:rPr>
          <w:sz w:val="18"/>
          <w:szCs w:val="18"/>
          <w:lang w:val="en-GB"/>
        </w:rPr>
        <w:t>Smith</w:t>
      </w:r>
      <w:r>
        <w:rPr>
          <w:sz w:val="18"/>
          <w:szCs w:val="18"/>
          <w:lang w:val="en-GB"/>
        </w:rPr>
        <w:t xml:space="preserve">: 8.1, non-pecuniary, member of the Parish Council that owns the land on which the community centre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is</w:t>
      </w:r>
      <w:r>
        <w:rPr>
          <w:sz w:val="18"/>
          <w:szCs w:val="18"/>
          <w:lang w:val="en-GB"/>
        </w:rPr>
        <w:t xml:space="preserve">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8.1, non-pecuniary, member of the Parish Council that owns the land on which the community centre is built, </w:t>
      </w:r>
      <w:r>
        <w:rPr>
          <w:sz w:val="18"/>
          <w:szCs w:val="18"/>
          <w:lang w:val="en-GB"/>
        </w:rPr>
        <w:t xml:space="preserve">10.8, personal (neighbouring property) </w:t>
      </w:r>
    </w:p>
    <w:p>
      <w:pPr>
        <w:pStyle w:val="BodyA"/>
        <w:tabs>
          <w:tab w:val="clear" w:pos="720"/>
          <w:tab w:val="left" w:pos="1080" w:leader="none"/>
        </w:tabs>
        <w:spacing w:before="0" w:after="0"/>
        <w:ind w:left="1440" w:hanging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</w:r>
      <w:r>
        <w:rPr>
          <w:sz w:val="18"/>
          <w:szCs w:val="18"/>
          <w:lang w:val="en-GB"/>
        </w:rPr>
        <w:t>No</w:t>
      </w:r>
      <w:r>
        <w:rPr>
          <w:sz w:val="18"/>
          <w:szCs w:val="18"/>
          <w:lang w:val="en-GB"/>
        </w:rPr>
        <w:t xml:space="preserve"> member</w:t>
      </w:r>
      <w:r>
        <w:rPr>
          <w:sz w:val="18"/>
          <w:szCs w:val="18"/>
          <w:lang w:val="en-GB"/>
        </w:rPr>
        <w:t>s</w:t>
      </w:r>
      <w:r>
        <w:rPr>
          <w:sz w:val="18"/>
          <w:szCs w:val="18"/>
          <w:lang w:val="en-GB"/>
        </w:rPr>
        <w:t xml:space="preserve"> of the public attended. 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 xml:space="preserve">Councillors were asked to review the Minutes of the Parish Council meeting held on Monday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14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GB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November.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</w:t>
      </w:r>
      <w:r>
        <w:rPr>
          <w:sz w:val="18"/>
          <w:szCs w:val="18"/>
          <w:lang w:val="en-GB"/>
        </w:rPr>
        <w:t xml:space="preserve">All agreed and Chair signed them off. </w:t>
      </w:r>
    </w:p>
    <w:p>
      <w:pPr>
        <w:pStyle w:val="BodyA"/>
        <w:spacing w:before="0" w:after="0"/>
        <w:ind w:hanging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6.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6.1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000000"/>
          <w:sz w:val="18"/>
          <w:szCs w:val="18"/>
          <w:lang w:val="en-GB"/>
        </w:rPr>
        <w:t>Bank reconciliation as at 31</w:t>
      </w:r>
      <w:r>
        <w:rPr>
          <w:i w:val="false"/>
          <w:iCs w:val="false"/>
          <w:color w:val="000000"/>
          <w:sz w:val="18"/>
          <w:szCs w:val="18"/>
          <w:vertAlign w:val="superscript"/>
          <w:lang w:val="en-GB"/>
        </w:rPr>
        <w:t>st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December, the current account balance was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17,717.98</w:t>
      </w:r>
      <w:r>
        <w:rPr>
          <w:i w:val="false"/>
          <w:iCs w:val="false"/>
          <w:color w:val="000000"/>
          <w:sz w:val="18"/>
          <w:szCs w:val="18"/>
          <w:lang w:val="en-GB"/>
        </w:rPr>
        <w:t>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864.64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16,853.34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funds £1,050.70;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15,802.64</w:t>
      </w:r>
      <w:r>
        <w:rPr>
          <w:i w:val="false"/>
          <w:iCs w:val="false"/>
          <w:color w:val="000000"/>
          <w:sz w:val="18"/>
          <w:szCs w:val="18"/>
          <w:lang w:val="en-GB"/>
        </w:rPr>
        <w:t>. PC deposit account £10,029.42.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6.2</w:t>
        <w:tab/>
        <w:t xml:space="preserve">All Cllrs reviewed and agreed BACS run.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6.3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Cllrs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reviewed and agreed the 2023/34 draft precept. Clerk to submit to UDC. </w:t>
      </w:r>
    </w:p>
    <w:p>
      <w:pPr>
        <w:pStyle w:val="BodyA"/>
        <w:spacing w:before="0" w:after="0"/>
        <w:ind w:hanging="0"/>
        <w:jc w:val="both"/>
        <w:rPr>
          <w:lang w:val="en-GB"/>
        </w:rPr>
      </w:pPr>
      <w:r>
        <w:rPr>
          <w:rFonts w:eastAsia="Arial Unicode MS" w:cs="Times New Roman"/>
          <w:color w:val="auto"/>
          <w:kern w:val="0"/>
          <w:sz w:val="18"/>
          <w:szCs w:val="18"/>
          <w:lang w:val="en-GB" w:eastAsia="en-US" w:bidi="ar-SA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7.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7.1</w:t>
        <w:tab/>
        <w:t>Decisions: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color w:val="1F1F1F"/>
          <w:spacing w:val="0"/>
          <w:kern w:val="0"/>
          <w:sz w:val="18"/>
          <w:szCs w:val="18"/>
          <w:u w:val="none" w:color="000000"/>
          <w:lang w:val="en-US" w:eastAsia="en-GB" w:bidi="ar-SA"/>
        </w:rPr>
        <w:t>UTT/22/2408/FUL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 – Barn east of Gables, Upper Green (revised scheme to UTT/21/3129/FUL) – APPROVE 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color w:val="1F1F1F"/>
          <w:spacing w:val="0"/>
          <w:kern w:val="0"/>
          <w:sz w:val="18"/>
          <w:szCs w:val="18"/>
          <w:u w:val="none" w:color="000000"/>
          <w:lang w:val="en-US" w:eastAsia="en-GB" w:bidi="ar-SA"/>
        </w:rPr>
        <w:t>UTT/22/2506/FUL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 – Barn east of Gables, Upper Green – APPROVE 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color w:val="1F1F1F"/>
          <w:spacing w:val="0"/>
          <w:kern w:val="0"/>
          <w:sz w:val="18"/>
          <w:szCs w:val="18"/>
          <w:u w:val="none" w:color="000000"/>
          <w:lang w:val="en-US" w:eastAsia="en-GB" w:bidi="ar-SA"/>
        </w:rPr>
        <w:t>UTT/22/2668/FUL</w:t>
      </w: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 xml:space="preserve"> – Duddenhoe Grange, Upper Green Road – AWAIT</w:t>
        <w:tab/>
        <w:t xml:space="preserve">ING DECISION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ab/>
      </w:r>
      <w:r>
        <w:rPr>
          <w:rFonts w:eastAsia="Calibri" w:cs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lang w:val="en-US" w:eastAsia="en-GB" w:bidi="ar-SA"/>
        </w:rPr>
        <w:t xml:space="preserve">UTT/22/2502/FUL Land At Bull Lane Langley – AWAITING DECISION 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7.2</w:t>
        <w:tab/>
        <w:t>Applications:</w:t>
      </w:r>
    </w:p>
    <w:p>
      <w:pPr>
        <w:pStyle w:val="BodyA"/>
        <w:spacing w:before="0" w:after="0"/>
        <w:ind w:left="720" w:hanging="720"/>
        <w:jc w:val="both"/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ab/>
        <w:t>UTT/22/3252/HHF – Nats Cottage, Upper Green Road –</w:t>
      </w:r>
      <w:r>
        <w:rPr>
          <w:rFonts w:eastAsia="Calibri" w:cs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lang w:val="en-US" w:eastAsia="en-GB" w:bidi="ar-SA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color w:val="000000"/>
          <w:spacing w:val="0"/>
          <w:kern w:val="0"/>
          <w:sz w:val="18"/>
          <w:szCs w:val="18"/>
          <w:u w:val="none" w:color="000000"/>
          <w:lang w:val="en-US" w:eastAsia="en-GB" w:bidi="ar-SA"/>
        </w:rPr>
        <w:t xml:space="preserve">NO OBJECTIONS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>7.3</w:t>
        <w:tab/>
      </w: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 xml:space="preserve">Cllrs reviewed and discussed reply to planning concerns raised by PC to UDC planning department.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8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8.1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No update.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  <w:tab/>
      </w:r>
      <w:r>
        <w:rPr>
          <w:b/>
          <w:bCs/>
          <w:sz w:val="18"/>
          <w:szCs w:val="18"/>
          <w:u w:val="single"/>
          <w:lang w:val="en-GB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10.1</w:t>
        <w:tab/>
        <w:t xml:space="preserve">Trees / Verges / Grass cutting  –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Cllr Smith provided the PC with a map showing all the TPO trees in the village. Cllrs to meet with Gary Law </w:t>
        <w:tab/>
        <w:t xml:space="preserve">to confirm tree and ditch work required. Cllr Clark to assist in removal of spoil from any ditch work.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>10.2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A resident has confirmed that overhanging branches on their property as you enter the village from Duddenhoe End will be cut in February. </w:t>
      </w:r>
    </w:p>
    <w:p>
      <w:pPr>
        <w:pStyle w:val="BodyA"/>
        <w:spacing w:before="0" w:after="0"/>
        <w:jc w:val="both"/>
        <w:rPr>
          <w:color w:val="000000"/>
        </w:rPr>
      </w:pPr>
      <w:r>
        <w:rPr>
          <w:bCs/>
          <w:color w:val="000000"/>
          <w:sz w:val="18"/>
          <w:szCs w:val="18"/>
          <w:shd w:fill="FFFFFF" w:val="clear"/>
        </w:rPr>
        <w:t>10.3</w:t>
        <w:tab/>
        <w:t xml:space="preserve">Lack of 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Community Centre parking options discussed and thoughts ongoing. </w:t>
      </w:r>
    </w:p>
    <w:p>
      <w:pPr>
        <w:pStyle w:val="BodyA"/>
        <w:spacing w:before="0" w:after="0"/>
        <w:jc w:val="both"/>
        <w:rPr>
          <w:color w:val="000000"/>
        </w:rPr>
      </w:pPr>
      <w:r>
        <w:rPr>
          <w:bCs/>
          <w:color w:val="000000"/>
          <w:sz w:val="18"/>
          <w:szCs w:val="18"/>
          <w:shd w:fill="FFFFFF" w:val="clear"/>
        </w:rPr>
        <w:t>10.4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 Bull presented plan showing approved marquee size in relation to the community centre. Clerk to send to CC committee for inclusion in </w:t>
        <w:tab/>
        <w:t xml:space="preserve">standard hiring terms. </w:t>
      </w:r>
    </w:p>
    <w:p>
      <w:pPr>
        <w:pStyle w:val="BodyA"/>
        <w:spacing w:before="0" w:after="0"/>
        <w:jc w:val="both"/>
        <w:rPr>
          <w:color w:val="000000"/>
        </w:rPr>
      </w:pPr>
      <w:r>
        <w:rPr>
          <w:bCs/>
          <w:color w:val="000000"/>
          <w:sz w:val="18"/>
          <w:szCs w:val="18"/>
          <w:shd w:fill="FFFFFF" w:val="clear"/>
        </w:rPr>
        <w:t>10.5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Ongoing – request for police representative to attend PC meeting. </w:t>
      </w:r>
    </w:p>
    <w:p>
      <w:pPr>
        <w:pStyle w:val="BodyA"/>
        <w:spacing w:before="0" w:after="0"/>
        <w:jc w:val="both"/>
        <w:rPr>
          <w:color w:val="000000"/>
        </w:rPr>
      </w:pPr>
      <w:r>
        <w:rPr>
          <w:bCs/>
          <w:color w:val="000000"/>
          <w:sz w:val="18"/>
          <w:szCs w:val="18"/>
          <w:shd w:fill="FFFFFF" w:val="clear"/>
        </w:rPr>
        <w:t>10.6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Community Awards Scheme. Cllr Joplin provided the PC with ideas and discussions are ongoing.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10.7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 Elkington to attend Local Elections briefing and report back to PC.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10.8</w:t>
        <w:tab/>
      </w:r>
      <w:r>
        <w:rPr>
          <w:rFonts w:eastAsia="Calibri" w:cs="Calibri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Cllrs Elkington and North to </w:t>
      </w:r>
      <w:r>
        <w:rPr>
          <w:rFonts w:eastAsia="Calibri" w:cs="Calibri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meet with representative from Methodist Church to discuss possible transfer of lease for the Methodist Church </w:t>
        <w:tab/>
        <w:t xml:space="preserve">Burial Ground to the PC.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10.9</w:t>
        <w:tab/>
        <w:t>C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llr North working to try and secure gritters to come through the village as criteria has changed. Further updates to follow.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10.10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Clerk to find out more possible storage options for PC files.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10.11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Funding for Highways Rangers has been stopped and they will cease to be in operation from 1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st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April 2023.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0.12</w:t>
        <w:tab/>
        <w:t xml:space="preserve">Paperwork circulated to Cllrs regarding Assets of Community Value for review and discussion at next PC meeting.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PLAYGROUND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>11.1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>Clerk confirmed that Locality Fund grant via Cllr Paul Gadd has been approved for £1000. Cllr Oliver informed PC that he has also secured a grant for £1000 to be spent on new playground equipment. The PC wish to thank both Cllrs Gadd and Oliver.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ab/>
        <w:t xml:space="preserve">Cllr North secured discounted monkey bars as compensation from Sovereign and these will be installed in due course.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AND COUNTY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Cllr 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GB" w:eastAsia="en-GB" w:bidi="ar-SA"/>
        </w:rPr>
        <w:t>Gadd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circulated 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his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GB" w:eastAsia="en-GB" w:bidi="ar-SA"/>
        </w:rPr>
        <w:t xml:space="preserve">report prior to the meeting and Cllr Oliver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GB" w:eastAsia="en-GB" w:bidi="ar-SA"/>
        </w:rPr>
        <w:t xml:space="preserve">provided an update and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GB" w:eastAsia="en-GB" w:bidi="ar-SA"/>
        </w:rPr>
        <w:t xml:space="preserve">answered questions from Cllrs.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GB" w:eastAsia="en-GB" w:bidi="ar-SA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13.</w:t>
        <w:tab/>
      </w:r>
      <w:r>
        <w:rPr>
          <w:b/>
          <w:bCs/>
          <w:sz w:val="18"/>
          <w:szCs w:val="18"/>
          <w:u w:val="single"/>
          <w:lang w:val="en-GB"/>
        </w:rPr>
        <w:t>CHEQUES FOR SIGNING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13.1</w:t>
        <w:tab/>
        <w:t>Council agreed the following BACS payments to be made: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lang w:val="en-GB"/>
        </w:rPr>
      </w:r>
    </w:p>
    <w:tbl>
      <w:tblPr>
        <w:tblW w:w="9272" w:type="dxa"/>
        <w:jc w:val="left"/>
        <w:tblInd w:w="5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60"/>
      </w:tblGrid>
      <w:tr>
        <w:trPr>
          <w:trHeight w:val="537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 xml:space="preserve">Langley Parish Council – BACS payments for 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22"/>
                <w:szCs w:val="22"/>
                <w:u w:val="none" w:color="000000"/>
                <w:lang w:val="en-US" w:eastAsia="en-GB" w:bidi="ar-SA"/>
              </w:rPr>
              <w:t>January 2023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LCC &amp; ST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Hire of community centre for PC meetings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£132.00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£343.64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£475.64</w:t>
            </w:r>
          </w:p>
        </w:tc>
      </w:tr>
    </w:tbl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14.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  <w:r>
        <w:rPr>
          <w:b/>
          <w:bCs/>
          <w:sz w:val="18"/>
          <w:szCs w:val="18"/>
          <w:lang w:val="en-GB"/>
        </w:rPr>
        <w:t xml:space="preserve"> </w:t>
      </w:r>
    </w:p>
    <w:p>
      <w:pPr>
        <w:pStyle w:val="NoSpacing"/>
        <w:spacing w:lineRule="auto" w:line="240" w:before="0" w:after="0"/>
        <w:ind w:left="720" w:hanging="720"/>
        <w:rPr>
          <w:lang w:val="en-GB"/>
        </w:rPr>
      </w:pPr>
      <w:r>
        <w:rPr>
          <w:sz w:val="18"/>
          <w:szCs w:val="18"/>
          <w:lang w:val="en-GB"/>
        </w:rPr>
        <w:t>14.1</w:t>
        <w:tab/>
        <w:t>Please note that no decisions can lawfully be made under this item. LGA 1972, Section 12 10(2)(b) states that business must be specified; therefore, the Council cannot lawfully raise matters for decision.</w:t>
      </w:r>
    </w:p>
    <w:p>
      <w:pPr>
        <w:pStyle w:val="NoSpacing"/>
        <w:spacing w:lineRule="auto" w:line="240" w:before="0" w:after="0"/>
        <w:ind w:left="720" w:hanging="720"/>
        <w:rPr>
          <w:lang w:val="en-GB"/>
        </w:rPr>
      </w:pPr>
      <w:r>
        <w:rPr>
          <w:sz w:val="18"/>
          <w:szCs w:val="18"/>
          <w:lang w:val="en-GB"/>
        </w:rPr>
        <w:tab/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15.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15.1</w:t>
        <w:tab/>
        <w:t xml:space="preserve">The next meeting will be on Monday </w:t>
      </w:r>
      <w:r>
        <w:rPr>
          <w:b w:val="false"/>
          <w:bCs w:val="false"/>
          <w:sz w:val="18"/>
          <w:szCs w:val="18"/>
        </w:rPr>
        <w:t>13</w:t>
      </w:r>
      <w:r>
        <w:rPr>
          <w:b w:val="false"/>
          <w:bCs w:val="false"/>
          <w:sz w:val="18"/>
          <w:szCs w:val="18"/>
          <w:vertAlign w:val="superscript"/>
        </w:rPr>
        <w:t>th</w:t>
      </w:r>
      <w:r>
        <w:rPr>
          <w:b w:val="false"/>
          <w:bCs w:val="false"/>
          <w:sz w:val="18"/>
          <w:szCs w:val="18"/>
        </w:rPr>
        <w:t xml:space="preserve"> </w:t>
      </w:r>
      <w:r>
        <w:rPr>
          <w:b w:val="false"/>
          <w:bCs w:val="false"/>
          <w:sz w:val="18"/>
          <w:szCs w:val="18"/>
        </w:rPr>
        <w:t>February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2023</w:t>
      </w:r>
      <w:r>
        <w:rPr>
          <w:b w:val="false"/>
          <w:bCs w:val="false"/>
          <w:sz w:val="18"/>
          <w:szCs w:val="18"/>
        </w:rPr>
        <w:t xml:space="preserve"> in Langley Community Centre. 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LibreOffice/7.1.1.2$Windows_X86_64 LibreOffice_project/fe0b08f4af1bacafe4c7ecc87ce55bb426164676</Application>
  <AppVersion>15.0000</AppVersion>
  <Pages>2</Pages>
  <Words>862</Words>
  <Characters>4530</Characters>
  <CharactersWithSpaces>5383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2021-05-10T20:41:00Z</dcterms:created>
  <dc:creator>Langley Clerk</dc:creator>
  <dc:description/>
  <dc:language>en-GB</dc:language>
  <cp:lastModifiedBy/>
  <cp:lastPrinted>2020-02-12T06:55:00Z</cp:lastPrinted>
  <dcterms:modified xsi:type="dcterms:W3CDTF">2023-01-13T16:29:40Z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